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23118" w14:textId="77777777" w:rsidR="000C5F66" w:rsidRPr="000C5F66" w:rsidRDefault="000C5F66" w:rsidP="000C5F66">
      <w:pPr>
        <w:pStyle w:val="BodyText"/>
        <w:ind w:left="5484"/>
        <w:jc w:val="right"/>
        <w:rPr>
          <w:color w:val="17365D" w:themeColor="text2" w:themeShade="BF"/>
          <w:sz w:val="20"/>
        </w:rPr>
      </w:pPr>
      <w:r w:rsidRPr="000C5F66">
        <w:rPr>
          <w:noProof/>
          <w:color w:val="17365D" w:themeColor="text2" w:themeShade="BF"/>
          <w:sz w:val="20"/>
        </w:rPr>
        <w:drawing>
          <wp:inline distT="0" distB="0" distL="0" distR="0" wp14:anchorId="22CE4B24" wp14:editId="5F257A3E">
            <wp:extent cx="2204720" cy="1092200"/>
            <wp:effectExtent l="0" t="0" r="5080" b="0"/>
            <wp:docPr id="21546344" name="Image 1" descr="A drawing of an octopu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6344" name="Image 1" descr="A drawing of an octopu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528" cy="109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25FB4" w14:textId="5B8A28B8" w:rsidR="000C5F66" w:rsidRDefault="00431BA0" w:rsidP="000C5F66">
      <w:pPr>
        <w:pStyle w:val="BodyText"/>
        <w:jc w:val="right"/>
        <w:rPr>
          <w:color w:val="17365D" w:themeColor="text2" w:themeShade="BF"/>
          <w:sz w:val="18"/>
          <w:szCs w:val="18"/>
        </w:rPr>
      </w:pPr>
      <w:hyperlink r:id="rId8" w:history="1">
        <w:r w:rsidR="000C5F66" w:rsidRPr="005005D3">
          <w:rPr>
            <w:rStyle w:val="Hyperlink"/>
            <w:color w:val="0000BF" w:themeColor="hyperlink" w:themeShade="BF"/>
            <w:sz w:val="18"/>
            <w:szCs w:val="18"/>
          </w:rPr>
          <w:t>www.monicafelkelcreativepartners.com</w:t>
        </w:r>
      </w:hyperlink>
    </w:p>
    <w:p w14:paraId="62CE21EE" w14:textId="77777777" w:rsidR="00431BA0" w:rsidRDefault="00431BA0" w:rsidP="00FC135D">
      <w:pPr>
        <w:jc w:val="center"/>
        <w:rPr>
          <w:b/>
          <w:bCs/>
          <w:sz w:val="24"/>
          <w:szCs w:val="24"/>
        </w:rPr>
      </w:pPr>
    </w:p>
    <w:p w14:paraId="24DC873E" w14:textId="742C4E8B" w:rsidR="00FC135D" w:rsidRDefault="00FC135D" w:rsidP="00FC135D">
      <w:pPr>
        <w:jc w:val="center"/>
        <w:rPr>
          <w:b/>
          <w:bCs/>
          <w:sz w:val="24"/>
          <w:szCs w:val="24"/>
        </w:rPr>
      </w:pPr>
      <w:r w:rsidRPr="002905C6">
        <w:rPr>
          <w:b/>
          <w:bCs/>
          <w:sz w:val="24"/>
          <w:szCs w:val="24"/>
        </w:rPr>
        <w:t>Kenji Bunch selection of works for orchestra</w:t>
      </w:r>
    </w:p>
    <w:p w14:paraId="3B3D23D3" w14:textId="77777777" w:rsidR="00FC135D" w:rsidRPr="002905C6" w:rsidRDefault="00FC135D" w:rsidP="00FC135D">
      <w:pPr>
        <w:jc w:val="center"/>
        <w:rPr>
          <w:b/>
          <w:bCs/>
          <w:sz w:val="24"/>
          <w:szCs w:val="24"/>
        </w:rPr>
      </w:pPr>
    </w:p>
    <w:p w14:paraId="33942860" w14:textId="77777777" w:rsidR="00FC135D" w:rsidRDefault="00FC135D" w:rsidP="00FC135D">
      <w:r w:rsidRPr="00047F75">
        <w:rPr>
          <w:b/>
          <w:bCs/>
          <w:i/>
          <w:iCs/>
          <w:sz w:val="24"/>
          <w:szCs w:val="24"/>
        </w:rPr>
        <w:t>Time In</w:t>
      </w:r>
      <w:r>
        <w:t xml:space="preserve">  (4 minutes) </w:t>
      </w:r>
    </w:p>
    <w:p w14:paraId="55DDB2BB" w14:textId="77777777" w:rsidR="00FC135D" w:rsidRDefault="00FC135D" w:rsidP="00FC135D">
      <w:r>
        <w:t>Instrumentation: 3[1.2.p</w:t>
      </w:r>
      <w:r w:rsidRPr="0055587B">
        <w:t>ic</w:t>
      </w:r>
      <w:r>
        <w:t xml:space="preserve">] 3[1.2.Eh] 3 [1.2.bcl],  3[1.2.cbn] – 4 3 3[1.2.btbn] 1 -  </w:t>
      </w:r>
      <w:proofErr w:type="spellStart"/>
      <w:r>
        <w:t>tmp</w:t>
      </w:r>
      <w:proofErr w:type="spellEnd"/>
      <w:r>
        <w:t xml:space="preserve"> </w:t>
      </w:r>
      <w:r w:rsidRPr="00A94D79">
        <w:t xml:space="preserve">– </w:t>
      </w:r>
      <w:r>
        <w:t>4</w:t>
      </w:r>
      <w:r w:rsidRPr="00A94D79">
        <w:t xml:space="preserve"> perc</w:t>
      </w:r>
      <w:r>
        <w:t xml:space="preserve"> [bass drum, claves, congas, </w:t>
      </w:r>
      <w:proofErr w:type="spellStart"/>
      <w:r>
        <w:t>daluo</w:t>
      </w:r>
      <w:proofErr w:type="spellEnd"/>
      <w:r>
        <w:t xml:space="preserve"> (flat Beijing Opera gong), drum, glockenspiel, hi-hat, marimba, referee whistle, roto-toms, shaker, 3 slide whistles, snare drum, temple blocks, xiao </w:t>
      </w:r>
      <w:proofErr w:type="spellStart"/>
      <w:r>
        <w:t>luo</w:t>
      </w:r>
      <w:proofErr w:type="spellEnd"/>
      <w:r>
        <w:t xml:space="preserve"> (convex Beijing Opera gong)]   pf - str</w:t>
      </w:r>
    </w:p>
    <w:p w14:paraId="351E9131" w14:textId="77777777" w:rsidR="00FC135D" w:rsidRDefault="00FC135D" w:rsidP="00FC135D">
      <w:r w:rsidRPr="00A70FF5">
        <w:t xml:space="preserve">Commissioned and premiered by The Oregon Symphony (David </w:t>
      </w:r>
      <w:proofErr w:type="spellStart"/>
      <w:r w:rsidRPr="00A70FF5">
        <w:t>Danzmayr</w:t>
      </w:r>
      <w:proofErr w:type="spellEnd"/>
      <w:r w:rsidRPr="00A70FF5">
        <w:t>, Music Director)</w:t>
      </w:r>
      <w:r>
        <w:t>, for the opening of their 125</w:t>
      </w:r>
      <w:r w:rsidRPr="006B4269">
        <w:rPr>
          <w:vertAlign w:val="superscript"/>
        </w:rPr>
        <w:t>th</w:t>
      </w:r>
      <w:r>
        <w:t xml:space="preserve"> Season, </w:t>
      </w:r>
      <w:r w:rsidRPr="00A70FF5">
        <w:t>Oct</w:t>
      </w:r>
      <w:r>
        <w:t xml:space="preserve">ober </w:t>
      </w:r>
      <w:r w:rsidRPr="00A70FF5">
        <w:t>2021, Portland, Oregon.</w:t>
      </w:r>
    </w:p>
    <w:p w14:paraId="70B4D5CC" w14:textId="77777777" w:rsidR="00FC135D" w:rsidRDefault="00FC135D" w:rsidP="00FC135D"/>
    <w:p w14:paraId="647ADA82" w14:textId="77777777" w:rsidR="00FC135D" w:rsidRDefault="00FC135D" w:rsidP="00FC135D">
      <w:r w:rsidRPr="00047F75">
        <w:rPr>
          <w:b/>
          <w:bCs/>
          <w:i/>
          <w:iCs/>
          <w:sz w:val="24"/>
          <w:szCs w:val="24"/>
        </w:rPr>
        <w:t>Verso</w:t>
      </w:r>
      <w:r w:rsidRPr="00047F75">
        <w:rPr>
          <w:sz w:val="24"/>
          <w:szCs w:val="24"/>
        </w:rPr>
        <w:t xml:space="preserve"> for solo Violin and Viola with string orchestra and harpsichord</w:t>
      </w:r>
      <w:r>
        <w:t xml:space="preserve"> (12 minutes)</w:t>
      </w:r>
    </w:p>
    <w:p w14:paraId="581DA08A" w14:textId="77777777" w:rsidR="00FC135D" w:rsidRDefault="00FC135D" w:rsidP="00FC135D">
      <w:r w:rsidRPr="00BD57EC">
        <w:t xml:space="preserve">Commissioned by the </w:t>
      </w:r>
      <w:proofErr w:type="spellStart"/>
      <w:r w:rsidRPr="00BD57EC">
        <w:t>Chintimini</w:t>
      </w:r>
      <w:proofErr w:type="spellEnd"/>
      <w:r w:rsidRPr="00BD57EC">
        <w:t xml:space="preserve"> Chamber Music Festival. Premiered by Erik Peterson, violin, Adam Matthes, viola with the </w:t>
      </w:r>
      <w:proofErr w:type="spellStart"/>
      <w:r w:rsidRPr="00BD57EC">
        <w:t>Chintimini</w:t>
      </w:r>
      <w:proofErr w:type="spellEnd"/>
      <w:r w:rsidRPr="00BD57EC">
        <w:t xml:space="preserve"> Festival Chamber Orchestra, June 2010, Corvallis, O</w:t>
      </w:r>
      <w:r>
        <w:t>regon</w:t>
      </w:r>
      <w:r w:rsidRPr="00BD57EC">
        <w:t xml:space="preserve">. </w:t>
      </w:r>
    </w:p>
    <w:p w14:paraId="03A4BCE1" w14:textId="77777777" w:rsidR="00FC135D" w:rsidRDefault="00FC135D" w:rsidP="00FC135D">
      <w:pPr>
        <w:rPr>
          <w:b/>
          <w:bCs/>
          <w:i/>
          <w:iCs/>
          <w:sz w:val="24"/>
          <w:szCs w:val="24"/>
        </w:rPr>
      </w:pPr>
    </w:p>
    <w:p w14:paraId="61EEC90C" w14:textId="77777777" w:rsidR="00FC135D" w:rsidRDefault="00FC135D" w:rsidP="00FC135D">
      <w:r w:rsidRPr="00063834">
        <w:rPr>
          <w:b/>
          <w:bCs/>
          <w:i/>
          <w:iCs/>
          <w:sz w:val="24"/>
          <w:szCs w:val="24"/>
        </w:rPr>
        <w:t>The Devil’s Box</w:t>
      </w:r>
      <w:r w:rsidRPr="00063834">
        <w:rPr>
          <w:sz w:val="24"/>
          <w:szCs w:val="24"/>
        </w:rPr>
        <w:t xml:space="preserve"> for </w:t>
      </w:r>
      <w:r>
        <w:rPr>
          <w:sz w:val="24"/>
          <w:szCs w:val="24"/>
        </w:rPr>
        <w:t>amplified v</w:t>
      </w:r>
      <w:r w:rsidRPr="00063834">
        <w:rPr>
          <w:sz w:val="24"/>
          <w:szCs w:val="24"/>
        </w:rPr>
        <w:t>iola and orchestra</w:t>
      </w:r>
      <w:r>
        <w:t xml:space="preserve"> (20 minutes) </w:t>
      </w:r>
      <w:r w:rsidRPr="00606D16">
        <w:rPr>
          <w:b/>
          <w:bCs/>
          <w:i/>
          <w:iCs/>
        </w:rPr>
        <w:t>with Kenji Bunch as soloist</w:t>
      </w:r>
    </w:p>
    <w:p w14:paraId="20A3ABE0" w14:textId="77777777" w:rsidR="00FC135D" w:rsidRDefault="00FC135D" w:rsidP="00FC135D">
      <w:r>
        <w:t xml:space="preserve">Instrumentation: </w:t>
      </w:r>
      <w:r w:rsidRPr="008E226E">
        <w:t>1</w:t>
      </w:r>
      <w:r>
        <w:t xml:space="preserve">/pic </w:t>
      </w:r>
      <w:r w:rsidRPr="008E226E">
        <w:t>1</w:t>
      </w:r>
      <w:r>
        <w:t xml:space="preserve"> </w:t>
      </w:r>
      <w:r w:rsidRPr="008E226E">
        <w:t>1 1</w:t>
      </w:r>
      <w:r>
        <w:t xml:space="preserve"> - </w:t>
      </w:r>
      <w:r w:rsidRPr="008E226E">
        <w:t>1 1 1 1</w:t>
      </w:r>
      <w:r>
        <w:t xml:space="preserve"> – </w:t>
      </w:r>
      <w:proofErr w:type="spellStart"/>
      <w:r w:rsidRPr="008E226E">
        <w:t>tmp</w:t>
      </w:r>
      <w:proofErr w:type="spellEnd"/>
      <w:r>
        <w:t xml:space="preserve"> - </w:t>
      </w:r>
      <w:r w:rsidRPr="008E226E">
        <w:t>2</w:t>
      </w:r>
      <w:r>
        <w:t xml:space="preserve"> </w:t>
      </w:r>
      <w:r w:rsidRPr="008E226E">
        <w:t>perc</w:t>
      </w:r>
      <w:r>
        <w:t xml:space="preserve"> –</w:t>
      </w:r>
      <w:r w:rsidRPr="008E226E">
        <w:t xml:space="preserve"> hp</w:t>
      </w:r>
      <w:r>
        <w:t xml:space="preserve"> –</w:t>
      </w:r>
      <w:r w:rsidRPr="008E226E">
        <w:t xml:space="preserve"> p</w:t>
      </w:r>
      <w:r>
        <w:t xml:space="preserve">f - </w:t>
      </w:r>
      <w:r w:rsidRPr="008E226E">
        <w:t>str</w:t>
      </w:r>
      <w:r w:rsidRPr="008E226E">
        <w:tab/>
      </w:r>
    </w:p>
    <w:p w14:paraId="42057409" w14:textId="77777777" w:rsidR="00FC135D" w:rsidRDefault="00FC135D" w:rsidP="00FC135D">
      <w:r w:rsidRPr="008E226E">
        <w:t xml:space="preserve">Commissioned by Mary Rodgers </w:t>
      </w:r>
      <w:proofErr w:type="spellStart"/>
      <w:r w:rsidRPr="008E226E">
        <w:t>Guettel</w:t>
      </w:r>
      <w:proofErr w:type="spellEnd"/>
      <w:r w:rsidRPr="008E226E">
        <w:t xml:space="preserve"> through Meet </w:t>
      </w:r>
      <w:proofErr w:type="gramStart"/>
      <w:r w:rsidRPr="008E226E">
        <w:t>The</w:t>
      </w:r>
      <w:proofErr w:type="gramEnd"/>
      <w:r w:rsidRPr="008E226E">
        <w:t xml:space="preserve"> Composer, premiered by</w:t>
      </w:r>
      <w:r>
        <w:t xml:space="preserve"> Kenji Bunch, viola with</w:t>
      </w:r>
      <w:r w:rsidRPr="008E226E">
        <w:t xml:space="preserve"> the American Composers Orchestra</w:t>
      </w:r>
      <w:r>
        <w:t xml:space="preserve"> (</w:t>
      </w:r>
      <w:r w:rsidRPr="008E226E">
        <w:t>George Manahan, cond</w:t>
      </w:r>
      <w:r>
        <w:t>uctor)</w:t>
      </w:r>
      <w:r w:rsidRPr="008E226E">
        <w:t xml:space="preserve">, </w:t>
      </w:r>
      <w:r>
        <w:t xml:space="preserve">October </w:t>
      </w:r>
      <w:r w:rsidRPr="008E226E">
        <w:t xml:space="preserve">2011, </w:t>
      </w:r>
      <w:r>
        <w:t>New York City</w:t>
      </w:r>
      <w:r w:rsidRPr="008E226E">
        <w:t>.</w:t>
      </w:r>
    </w:p>
    <w:p w14:paraId="664157EE" w14:textId="77777777" w:rsidR="00FC135D" w:rsidRDefault="00FC135D" w:rsidP="00FC135D"/>
    <w:p w14:paraId="73D73D6B" w14:textId="77777777" w:rsidR="00FC135D" w:rsidRPr="004900EF" w:rsidRDefault="00FC135D" w:rsidP="00FC135D">
      <w:pPr>
        <w:pStyle w:val="Heading1"/>
        <w:rPr>
          <w:b w:val="0"/>
          <w:bCs w:val="0"/>
          <w:i w:val="0"/>
          <w:iCs w:val="0"/>
        </w:rPr>
      </w:pPr>
      <w:r>
        <w:t>s</w:t>
      </w:r>
      <w:r w:rsidRPr="0059761A">
        <w:t xml:space="preserve">he </w:t>
      </w:r>
      <w:r>
        <w:t>f</w:t>
      </w:r>
      <w:r w:rsidRPr="0059761A">
        <w:t xml:space="preserve">lies </w:t>
      </w:r>
      <w:r>
        <w:t>w</w:t>
      </w:r>
      <w:r w:rsidRPr="0059761A">
        <w:t xml:space="preserve">ith </w:t>
      </w:r>
      <w:r>
        <w:t>h</w:t>
      </w:r>
      <w:r w:rsidRPr="0059761A">
        <w:t xml:space="preserve">er </w:t>
      </w:r>
      <w:r>
        <w:t>o</w:t>
      </w:r>
      <w:r w:rsidRPr="0059761A">
        <w:t xml:space="preserve">wn </w:t>
      </w:r>
      <w:r>
        <w:t>w</w:t>
      </w:r>
      <w:r w:rsidRPr="0059761A">
        <w:t>ings</w:t>
      </w:r>
      <w:r>
        <w:rPr>
          <w:b w:val="0"/>
          <w:bCs w:val="0"/>
          <w:i w:val="0"/>
          <w:iCs w:val="0"/>
        </w:rPr>
        <w:t xml:space="preserve"> (4 minutes)</w:t>
      </w:r>
    </w:p>
    <w:p w14:paraId="235C2AA8" w14:textId="77777777" w:rsidR="00FC135D" w:rsidRDefault="00FC135D" w:rsidP="00FC135D">
      <w:r w:rsidRPr="004900EF">
        <w:t>A fanfare for full orchestra</w:t>
      </w:r>
      <w:r>
        <w:t>, c</w:t>
      </w:r>
      <w:r w:rsidRPr="004900EF">
        <w:t>ommissioned by the Portland Youth Philharmonic</w:t>
      </w:r>
      <w:r>
        <w:t>, December 2022</w:t>
      </w:r>
    </w:p>
    <w:p w14:paraId="21DD4161" w14:textId="77777777" w:rsidR="00FC135D" w:rsidRPr="004900EF" w:rsidRDefault="00FC135D" w:rsidP="00FC135D"/>
    <w:p w14:paraId="4021F19E" w14:textId="77777777" w:rsidR="00FC135D" w:rsidRDefault="00FC135D" w:rsidP="00FC135D">
      <w:r w:rsidRPr="00046FA0">
        <w:rPr>
          <w:b/>
          <w:bCs/>
          <w:i/>
          <w:iCs/>
        </w:rPr>
        <w:t>Aspects of an Elephant</w:t>
      </w:r>
      <w:r w:rsidRPr="00352302">
        <w:t xml:space="preserve"> </w:t>
      </w:r>
      <w:r>
        <w:t>(20 minutes)</w:t>
      </w:r>
    </w:p>
    <w:p w14:paraId="713F09E5" w14:textId="77777777" w:rsidR="00FC135D" w:rsidRDefault="00FC135D" w:rsidP="00FC135D">
      <w:r>
        <w:t>Instrumentation: 3[1.2.3/</w:t>
      </w:r>
      <w:r w:rsidRPr="0055587B">
        <w:t>pic</w:t>
      </w:r>
      <w:r>
        <w:t xml:space="preserve"> </w:t>
      </w:r>
      <w:r w:rsidRPr="0055587B">
        <w:t>+ alto</w:t>
      </w:r>
      <w:r>
        <w:t>]</w:t>
      </w:r>
      <w:r w:rsidRPr="0055587B">
        <w:t xml:space="preserve"> 2</w:t>
      </w:r>
      <w:r>
        <w:t>[1.1/Eh]</w:t>
      </w:r>
      <w:r w:rsidRPr="0055587B">
        <w:t xml:space="preserve"> 2</w:t>
      </w:r>
      <w:r>
        <w:t>[1.2/</w:t>
      </w:r>
      <w:proofErr w:type="spellStart"/>
      <w:r>
        <w:t>b</w:t>
      </w:r>
      <w:r w:rsidRPr="0055587B">
        <w:t>cl</w:t>
      </w:r>
      <w:proofErr w:type="spellEnd"/>
      <w:r>
        <w:t>]</w:t>
      </w:r>
      <w:r w:rsidRPr="0055587B">
        <w:t xml:space="preserve"> 2</w:t>
      </w:r>
      <w:r>
        <w:t>[1.2/</w:t>
      </w:r>
      <w:r w:rsidRPr="0055587B">
        <w:t xml:space="preserve"> </w:t>
      </w:r>
      <w:proofErr w:type="spellStart"/>
      <w:r>
        <w:t>c</w:t>
      </w:r>
      <w:r w:rsidRPr="0055587B">
        <w:t>b</w:t>
      </w:r>
      <w:proofErr w:type="spellEnd"/>
      <w:r>
        <w:t xml:space="preserve">] - </w:t>
      </w:r>
      <w:r w:rsidRPr="0055587B">
        <w:t xml:space="preserve">4 3 </w:t>
      </w:r>
      <w:r>
        <w:t xml:space="preserve">3[1.2.btbn] - </w:t>
      </w:r>
      <w:proofErr w:type="spellStart"/>
      <w:r>
        <w:t>t</w:t>
      </w:r>
      <w:r w:rsidRPr="0055587B">
        <w:t>mp</w:t>
      </w:r>
      <w:proofErr w:type="spellEnd"/>
      <w:r w:rsidRPr="0055587B">
        <w:t xml:space="preserve"> </w:t>
      </w:r>
      <w:r>
        <w:t>–</w:t>
      </w:r>
      <w:r w:rsidRPr="0055587B">
        <w:t xml:space="preserve"> 3</w:t>
      </w:r>
      <w:r>
        <w:t xml:space="preserve"> </w:t>
      </w:r>
      <w:r w:rsidRPr="0055587B">
        <w:t>perc</w:t>
      </w:r>
      <w:r>
        <w:t xml:space="preserve"> [5 aluminum mixing bowls, bass drum, chimes, crotales, cymbals, glockenspiel, gong, marimba, 5 rototoms, slapstick, stones, vibraphone, triangle] - </w:t>
      </w:r>
      <w:r w:rsidRPr="0055587B">
        <w:t xml:space="preserve"> hp</w:t>
      </w:r>
      <w:r>
        <w:t xml:space="preserve"> - </w:t>
      </w:r>
      <w:r w:rsidRPr="0055587B">
        <w:t xml:space="preserve"> </w:t>
      </w:r>
      <w:proofErr w:type="spellStart"/>
      <w:r>
        <w:t>pn</w:t>
      </w:r>
      <w:proofErr w:type="spellEnd"/>
      <w:r>
        <w:t xml:space="preserve"> –</w:t>
      </w:r>
      <w:r w:rsidRPr="0055587B">
        <w:t xml:space="preserve"> s</w:t>
      </w:r>
      <w:r>
        <w:t>tr</w:t>
      </w:r>
    </w:p>
    <w:p w14:paraId="1A6B8BAE" w14:textId="77777777" w:rsidR="00FC135D" w:rsidRDefault="00FC135D" w:rsidP="00FC135D">
      <w:r w:rsidRPr="00A70FF5">
        <w:t xml:space="preserve">Commissioned and premiered by </w:t>
      </w:r>
      <w:r>
        <w:t>t</w:t>
      </w:r>
      <w:r w:rsidRPr="00A70FF5">
        <w:t>he Oregon Symphony (</w:t>
      </w:r>
      <w:r>
        <w:t>Carlos Kalmar</w:t>
      </w:r>
      <w:r w:rsidRPr="00A70FF5">
        <w:t>, Music Director)</w:t>
      </w:r>
      <w:r>
        <w:t>, March 2017</w:t>
      </w:r>
      <w:r w:rsidRPr="00A70FF5">
        <w:t>, Portland, Oregon.</w:t>
      </w:r>
    </w:p>
    <w:p w14:paraId="2ADA64DC" w14:textId="77777777" w:rsidR="00FC135D" w:rsidRDefault="00FC135D" w:rsidP="00FC135D">
      <w:pPr>
        <w:jc w:val="center"/>
        <w:rPr>
          <w:b/>
          <w:bCs/>
          <w:sz w:val="24"/>
          <w:szCs w:val="24"/>
        </w:rPr>
      </w:pPr>
    </w:p>
    <w:p w14:paraId="175C0CD0" w14:textId="77777777" w:rsidR="00FC135D" w:rsidRDefault="00FC135D" w:rsidP="00FC135D">
      <w:pPr>
        <w:jc w:val="center"/>
        <w:rPr>
          <w:b/>
          <w:bCs/>
          <w:sz w:val="24"/>
          <w:szCs w:val="24"/>
        </w:rPr>
      </w:pPr>
      <w:r w:rsidRPr="002905C6">
        <w:rPr>
          <w:b/>
          <w:bCs/>
          <w:sz w:val="24"/>
          <w:szCs w:val="24"/>
        </w:rPr>
        <w:t>Future Projects you can be a part of:</w:t>
      </w:r>
    </w:p>
    <w:p w14:paraId="41644694" w14:textId="77777777" w:rsidR="00FC135D" w:rsidRPr="002905C6" w:rsidRDefault="00FC135D" w:rsidP="00FC135D">
      <w:pPr>
        <w:jc w:val="center"/>
        <w:rPr>
          <w:b/>
          <w:bCs/>
          <w:sz w:val="24"/>
          <w:szCs w:val="24"/>
        </w:rPr>
      </w:pPr>
    </w:p>
    <w:p w14:paraId="3EF46C64" w14:textId="77777777" w:rsidR="00FC135D" w:rsidRDefault="00FC135D" w:rsidP="00FC135D">
      <w:r>
        <w:t xml:space="preserve">Orchestration of </w:t>
      </w:r>
      <w:r w:rsidRPr="00683909">
        <w:rPr>
          <w:b/>
          <w:bCs/>
          <w:i/>
          <w:iCs/>
          <w:sz w:val="24"/>
          <w:szCs w:val="24"/>
        </w:rPr>
        <w:t>Lost Freedom: A Memory</w:t>
      </w:r>
      <w:r>
        <w:tab/>
      </w:r>
    </w:p>
    <w:p w14:paraId="41EEFCE3" w14:textId="77777777" w:rsidR="00FC135D" w:rsidRDefault="00FC135D" w:rsidP="00FC135D">
      <w:r>
        <w:t>Written for Narrator, 4 violins, viola, 2 cellos, piano, 2 percussionists and commissioned by the Moab Music Festival. Premiered by actor, author, and civil rights activist George Takei and festival musicians at Red Cliffs Lodge, September 2021.  Mr.</w:t>
      </w:r>
      <w:r w:rsidRPr="004E3D24">
        <w:t xml:space="preserve"> Takei who</w:t>
      </w:r>
      <w:r>
        <w:t xml:space="preserve"> wrote the text to this new work based on his speeches, personal writings, and recollections of the </w:t>
      </w:r>
      <w:r w:rsidRPr="004E3D24">
        <w:t>four years</w:t>
      </w:r>
      <w:r>
        <w:t xml:space="preserve"> he with his family spent</w:t>
      </w:r>
      <w:r w:rsidRPr="004E3D24">
        <w:t xml:space="preserve"> in two Japanese American internment camps</w:t>
      </w:r>
      <w:r>
        <w:t xml:space="preserve"> along with many other Japanese- American citizens during World War II.</w:t>
      </w:r>
    </w:p>
    <w:p w14:paraId="08687206" w14:textId="77777777" w:rsidR="00FC135D" w:rsidRDefault="00FC135D" w:rsidP="00FC135D"/>
    <w:p w14:paraId="29EB16B0" w14:textId="77777777" w:rsidR="00FC135D" w:rsidRDefault="00FC135D" w:rsidP="00FC135D">
      <w:r>
        <w:rPr>
          <w:sz w:val="24"/>
          <w:szCs w:val="24"/>
        </w:rPr>
        <w:t xml:space="preserve">Creation of </w:t>
      </w:r>
      <w:r w:rsidRPr="00683909">
        <w:rPr>
          <w:b/>
          <w:bCs/>
          <w:i/>
          <w:iCs/>
          <w:sz w:val="24"/>
          <w:szCs w:val="24"/>
        </w:rPr>
        <w:t>Suite from The Snow Queen</w:t>
      </w:r>
    </w:p>
    <w:p w14:paraId="3AD234DB" w14:textId="77777777" w:rsidR="00FC135D" w:rsidRDefault="00FC135D" w:rsidP="00FC135D">
      <w:r w:rsidRPr="00447EA2">
        <w:rPr>
          <w:i/>
          <w:iCs/>
        </w:rPr>
        <w:t>The Snow Queen</w:t>
      </w:r>
      <w:r>
        <w:t xml:space="preserve"> was commissioned by the Eugene Ballet Company and </w:t>
      </w:r>
      <w:r w:rsidRPr="00A94D79">
        <w:t xml:space="preserve">premiered by </w:t>
      </w:r>
      <w:proofErr w:type="spellStart"/>
      <w:r w:rsidRPr="00A94D79">
        <w:t>Orchestra</w:t>
      </w:r>
      <w:r>
        <w:t>NEXT</w:t>
      </w:r>
      <w:proofErr w:type="spellEnd"/>
      <w:r>
        <w:t xml:space="preserve"> in 2017.  This 100-minute ballet score is a significant addition to the repertoire.  At its heart, Hans Christian Anderson’s The Snow Queen is the classic tale of a hero’s quest. In this version, the hero is </w:t>
      </w:r>
      <w:proofErr w:type="gramStart"/>
      <w:r>
        <w:t>actually a</w:t>
      </w:r>
      <w:proofErr w:type="gramEnd"/>
      <w:r>
        <w:t xml:space="preserve"> heroine, and she goes off on adventures to rescue a boy from the forces of evil.  By creating a Suite of this score the work can be paired with the ballet suites of </w:t>
      </w:r>
      <w:r w:rsidRPr="00AA463A">
        <w:t>Tchaikovsky</w:t>
      </w:r>
      <w:r>
        <w:t xml:space="preserve"> (</w:t>
      </w:r>
      <w:r w:rsidRPr="00994F61">
        <w:rPr>
          <w:i/>
          <w:iCs/>
        </w:rPr>
        <w:t>Sleeping Beauty</w:t>
      </w:r>
      <w:r>
        <w:t>) or Prokofiev (</w:t>
      </w:r>
      <w:r w:rsidRPr="00994F61">
        <w:rPr>
          <w:i/>
          <w:iCs/>
        </w:rPr>
        <w:t>Romeo and Juliet</w:t>
      </w:r>
      <w:r>
        <w:t>).</w:t>
      </w:r>
    </w:p>
    <w:p w14:paraId="7D9427E0" w14:textId="77777777" w:rsidR="00C36FC3" w:rsidRPr="00C17681" w:rsidRDefault="00C36FC3">
      <w:pPr>
        <w:pStyle w:val="BodyText"/>
        <w:spacing w:before="171"/>
        <w:rPr>
          <w:b/>
          <w:color w:val="17365D" w:themeColor="text2" w:themeShade="BF"/>
        </w:rPr>
      </w:pPr>
    </w:p>
    <w:sectPr w:rsidR="00C36FC3" w:rsidRPr="00C17681" w:rsidSect="00BE1E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339F9" w14:textId="77777777" w:rsidR="006B0353" w:rsidRDefault="006B0353" w:rsidP="00D07CF4">
      <w:r>
        <w:separator/>
      </w:r>
    </w:p>
  </w:endnote>
  <w:endnote w:type="continuationSeparator" w:id="0">
    <w:p w14:paraId="28572CE7" w14:textId="77777777" w:rsidR="006B0353" w:rsidRDefault="006B0353" w:rsidP="00D0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C63D7" w14:textId="77777777" w:rsidR="00570313" w:rsidRDefault="00570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B98E2" w14:textId="2DF4D5A1" w:rsidR="000C5F66" w:rsidRPr="005B2E14" w:rsidRDefault="000C5F66" w:rsidP="00570313">
    <w:pPr>
      <w:spacing w:before="1" w:line="424" w:lineRule="auto"/>
      <w:ind w:left="4709" w:right="346" w:hanging="3980"/>
      <w:jc w:val="center"/>
      <w:rPr>
        <w:color w:val="17365D" w:themeColor="text2" w:themeShade="BF"/>
        <w:sz w:val="18"/>
        <w:szCs w:val="18"/>
      </w:rPr>
    </w:pPr>
    <w:r w:rsidRPr="005B2E14">
      <w:rPr>
        <w:color w:val="17365D" w:themeColor="text2" w:themeShade="BF"/>
        <w:sz w:val="18"/>
        <w:szCs w:val="18"/>
      </w:rPr>
      <w:t>Monica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Felkel</w:t>
    </w:r>
    <w:r w:rsidRPr="005B2E14">
      <w:rPr>
        <w:color w:val="17365D" w:themeColor="text2" w:themeShade="BF"/>
        <w:spacing w:val="-2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Creative</w:t>
    </w:r>
    <w:r w:rsidRPr="005B2E14">
      <w:rPr>
        <w:color w:val="17365D" w:themeColor="text2" w:themeShade="BF"/>
        <w:spacing w:val="-3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Partners,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LLC</w:t>
    </w:r>
    <w:r w:rsidRPr="005B2E14">
      <w:rPr>
        <w:color w:val="17365D" w:themeColor="text2" w:themeShade="BF"/>
        <w:spacing w:val="-4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•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65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West</w:t>
    </w:r>
    <w:r w:rsidRPr="005B2E14">
      <w:rPr>
        <w:color w:val="17365D" w:themeColor="text2" w:themeShade="BF"/>
        <w:spacing w:val="-2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90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Street</w:t>
    </w:r>
    <w:r w:rsidRPr="005B2E14">
      <w:rPr>
        <w:color w:val="17365D" w:themeColor="text2" w:themeShade="BF"/>
        <w:spacing w:val="-2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•</w:t>
    </w:r>
    <w:r w:rsidRPr="005B2E14">
      <w:rPr>
        <w:color w:val="17365D" w:themeColor="text2" w:themeShade="BF"/>
        <w:spacing w:val="-3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Suite</w:t>
    </w:r>
    <w:r w:rsidRPr="005B2E14">
      <w:rPr>
        <w:color w:val="17365D" w:themeColor="text2" w:themeShade="BF"/>
        <w:spacing w:val="-3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14F</w:t>
    </w:r>
    <w:r w:rsidRPr="005B2E14">
      <w:rPr>
        <w:color w:val="17365D" w:themeColor="text2" w:themeShade="BF"/>
        <w:spacing w:val="-4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•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New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York,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NY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10024</w:t>
    </w:r>
    <w:r w:rsidRPr="005B2E14">
      <w:rPr>
        <w:color w:val="17365D" w:themeColor="text2" w:themeShade="BF"/>
        <w:spacing w:val="-1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•</w:t>
    </w:r>
    <w:r w:rsidRPr="005B2E14">
      <w:rPr>
        <w:color w:val="17365D" w:themeColor="text2" w:themeShade="BF"/>
        <w:spacing w:val="-3"/>
        <w:sz w:val="18"/>
        <w:szCs w:val="18"/>
      </w:rPr>
      <w:t xml:space="preserve"> </w:t>
    </w:r>
    <w:r w:rsidRPr="005B2E14">
      <w:rPr>
        <w:color w:val="17365D" w:themeColor="text2" w:themeShade="BF"/>
        <w:sz w:val="18"/>
        <w:szCs w:val="18"/>
      </w:rPr>
      <w:t>917-868-8107</w:t>
    </w:r>
  </w:p>
  <w:p w14:paraId="1B5D4D93" w14:textId="226D0C6C" w:rsidR="00D07CF4" w:rsidRDefault="00D07CF4">
    <w:pPr>
      <w:pStyle w:val="Footer"/>
    </w:pPr>
  </w:p>
  <w:p w14:paraId="77615439" w14:textId="77777777" w:rsidR="00D07CF4" w:rsidRDefault="00D07C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DD4AD" w14:textId="77777777" w:rsidR="00570313" w:rsidRDefault="00570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2D77C" w14:textId="77777777" w:rsidR="006B0353" w:rsidRDefault="006B0353" w:rsidP="00D07CF4">
      <w:r>
        <w:separator/>
      </w:r>
    </w:p>
  </w:footnote>
  <w:footnote w:type="continuationSeparator" w:id="0">
    <w:p w14:paraId="38A055E4" w14:textId="77777777" w:rsidR="006B0353" w:rsidRDefault="006B0353" w:rsidP="00D0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97768" w14:textId="77777777" w:rsidR="00570313" w:rsidRDefault="00570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D0306" w14:textId="77777777" w:rsidR="00570313" w:rsidRDefault="00570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33FEB" w14:textId="77777777" w:rsidR="00570313" w:rsidRDefault="00570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C3"/>
    <w:rsid w:val="000C5F66"/>
    <w:rsid w:val="00261F5C"/>
    <w:rsid w:val="002E6BF6"/>
    <w:rsid w:val="00431BA0"/>
    <w:rsid w:val="004C7A7C"/>
    <w:rsid w:val="004E699B"/>
    <w:rsid w:val="00570313"/>
    <w:rsid w:val="005B2E14"/>
    <w:rsid w:val="006B0353"/>
    <w:rsid w:val="006C280C"/>
    <w:rsid w:val="00733C24"/>
    <w:rsid w:val="00742D6B"/>
    <w:rsid w:val="00835A3E"/>
    <w:rsid w:val="008B5524"/>
    <w:rsid w:val="009D1D61"/>
    <w:rsid w:val="00B45317"/>
    <w:rsid w:val="00BE1E52"/>
    <w:rsid w:val="00C17681"/>
    <w:rsid w:val="00C36FC3"/>
    <w:rsid w:val="00CB7EFD"/>
    <w:rsid w:val="00D07CF4"/>
    <w:rsid w:val="00DD7D42"/>
    <w:rsid w:val="00EC56F8"/>
    <w:rsid w:val="00F254B4"/>
    <w:rsid w:val="00FC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427B2"/>
  <w15:docId w15:val="{C455E915-559B-4512-8344-4C1017DB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35D"/>
    <w:pPr>
      <w:keepNext/>
      <w:widowControl/>
      <w:autoSpaceDE/>
      <w:autoSpaceDN/>
      <w:outlineLvl w:val="0"/>
    </w:pPr>
    <w:rPr>
      <w:rFonts w:asciiTheme="minorHAnsi" w:eastAsiaTheme="minorHAnsi" w:hAnsiTheme="minorHAnsi" w:cstheme="min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5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D07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C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7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CF4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E1E52"/>
    <w:pPr>
      <w:widowControl/>
      <w:autoSpaceDE/>
      <w:autoSpaceDN/>
    </w:pPr>
    <w:rPr>
      <w:color w:val="1F497D" w:themeColor="text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5F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F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C135D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icafelkelcreativepartner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4DB6-A7C9-4D31-B712-A3E1C277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240926 Home Within Contract Kinan Azmeh Princeton University Concerts.pdf</dc:title>
  <dc:creator>Monica Felkel</dc:creator>
  <cp:lastModifiedBy>Monica Felkel</cp:lastModifiedBy>
  <cp:revision>3</cp:revision>
  <dcterms:created xsi:type="dcterms:W3CDTF">2024-09-09T01:11:00Z</dcterms:created>
  <dcterms:modified xsi:type="dcterms:W3CDTF">2024-09-09T01:11:00Z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Microsoft: Print To PDF</vt:lpwstr>
  </property>
</Properties>
</file>